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B9" w:rsidRPr="00785A2A" w:rsidRDefault="00AF51B9" w:rsidP="00AF51B9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  <w:r w:rsidRPr="00785A2A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1</w:t>
      </w:r>
    </w:p>
    <w:p w:rsidR="00AF51B9" w:rsidRDefault="00AF51B9" w:rsidP="00AF51B9">
      <w:pPr>
        <w:snapToGrid w:val="0"/>
        <w:spacing w:line="700" w:lineRule="exact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:rsidR="00AF51B9" w:rsidRPr="005D1426" w:rsidRDefault="00AF51B9" w:rsidP="00AF51B9">
      <w:pPr>
        <w:snapToGrid w:val="0"/>
        <w:spacing w:line="7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5D1426">
        <w:rPr>
          <w:rFonts w:ascii="方正小标宋简体" w:eastAsia="方正小标宋简体" w:hAnsi="黑体" w:hint="eastAsia"/>
          <w:color w:val="000000"/>
          <w:sz w:val="44"/>
          <w:szCs w:val="44"/>
        </w:rPr>
        <w:t>中国药学会药物临床试验伦理学研究专业委员会成立大会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暨第一次学术</w:t>
      </w:r>
      <w:r w:rsidRPr="005D1426">
        <w:rPr>
          <w:rFonts w:ascii="方正小标宋简体" w:eastAsia="方正小标宋简体" w:hAnsi="黑体" w:hint="eastAsia"/>
          <w:color w:val="000000"/>
          <w:sz w:val="44"/>
          <w:szCs w:val="44"/>
        </w:rPr>
        <w:t>会议日程</w:t>
      </w:r>
    </w:p>
    <w:p w:rsidR="00AF51B9" w:rsidRPr="00415CE9" w:rsidRDefault="00AF51B9" w:rsidP="00AF51B9">
      <w:pPr>
        <w:jc w:val="center"/>
        <w:rPr>
          <w:rFonts w:ascii="黑体" w:eastAsia="黑体" w:hAnsi="黑体" w:hint="eastAsia"/>
          <w:color w:val="000000"/>
          <w:sz w:val="15"/>
          <w:szCs w:val="15"/>
        </w:rPr>
      </w:pPr>
    </w:p>
    <w:tbl>
      <w:tblPr>
        <w:tblW w:w="9446" w:type="dxa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5250"/>
        <w:gridCol w:w="2440"/>
      </w:tblGrid>
      <w:tr w:rsidR="00AF51B9" w:rsidRPr="00ED6AFE" w:rsidTr="00327B52">
        <w:trPr>
          <w:jc w:val="center"/>
        </w:trPr>
        <w:tc>
          <w:tcPr>
            <w:tcW w:w="1711" w:type="dxa"/>
          </w:tcPr>
          <w:p w:rsidR="00AF51B9" w:rsidRPr="00ED6AFE" w:rsidRDefault="00AF51B9" w:rsidP="00327B52">
            <w:pPr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  间</w:t>
            </w:r>
          </w:p>
        </w:tc>
        <w:tc>
          <w:tcPr>
            <w:tcW w:w="5281" w:type="dxa"/>
          </w:tcPr>
          <w:p w:rsidR="00AF51B9" w:rsidRPr="00ED6AFE" w:rsidRDefault="00AF51B9" w:rsidP="00327B52">
            <w:pPr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D6AFE">
              <w:rPr>
                <w:rFonts w:ascii="黑体" w:eastAsia="黑体" w:hAnsi="黑体" w:hint="eastAsia"/>
                <w:sz w:val="28"/>
                <w:szCs w:val="28"/>
              </w:rPr>
              <w:t>会议内容</w:t>
            </w:r>
          </w:p>
        </w:tc>
        <w:tc>
          <w:tcPr>
            <w:tcW w:w="2454" w:type="dxa"/>
          </w:tcPr>
          <w:p w:rsidR="00AF51B9" w:rsidRPr="00ED6AFE" w:rsidRDefault="00AF51B9" w:rsidP="00327B52">
            <w:pPr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D6AFE">
              <w:rPr>
                <w:rFonts w:ascii="黑体" w:eastAsia="黑体" w:hAnsi="黑体" w:hint="eastAsia"/>
                <w:sz w:val="28"/>
                <w:szCs w:val="28"/>
              </w:rPr>
              <w:t>主持人</w:t>
            </w: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 w:val="restart"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9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00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09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4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1.介绍</w:t>
            </w:r>
            <w:r w:rsidRPr="00ED6AFE">
              <w:rPr>
                <w:rFonts w:ascii="仿宋_GB2312" w:eastAsia="仿宋_GB2312" w:hAnsi="宋体"/>
                <w:color w:val="000000"/>
                <w:sz w:val="28"/>
                <w:szCs w:val="28"/>
              </w:rPr>
              <w:t>与会领导和专家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（4 分钟） </w:t>
            </w:r>
          </w:p>
        </w:tc>
        <w:tc>
          <w:tcPr>
            <w:tcW w:w="2454" w:type="dxa"/>
            <w:vMerge w:val="restart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专业委员会</w:t>
            </w:r>
          </w:p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副主任委员</w:t>
            </w: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学会领导致辞（1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分钟）</w:t>
            </w:r>
          </w:p>
        </w:tc>
        <w:tc>
          <w:tcPr>
            <w:tcW w:w="2454" w:type="dxa"/>
            <w:vMerge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.学会组织工作委员会介绍专业委员会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成立过程并宣读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主任委员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、副主任委员、委员名单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分钟）</w:t>
            </w:r>
          </w:p>
        </w:tc>
        <w:tc>
          <w:tcPr>
            <w:tcW w:w="2454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.学会领导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向</w:t>
            </w:r>
            <w:r w:rsidRPr="00ED6AFE">
              <w:rPr>
                <w:rFonts w:ascii="仿宋_GB2312" w:eastAsia="仿宋_GB2312" w:hAnsi="宋体"/>
                <w:color w:val="000000"/>
                <w:sz w:val="28"/>
                <w:szCs w:val="28"/>
              </w:rPr>
              <w:t>主任委员、副主任委员</w:t>
            </w:r>
            <w:r w:rsidRPr="00ED6AF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颁发</w:t>
            </w:r>
            <w:r w:rsidRPr="00ED6AFE">
              <w:rPr>
                <w:rFonts w:ascii="仿宋_GB2312" w:eastAsia="仿宋_GB2312" w:hAnsi="宋体"/>
                <w:color w:val="000000"/>
                <w:sz w:val="28"/>
                <w:szCs w:val="28"/>
              </w:rPr>
              <w:t>聘书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分钟)</w:t>
            </w:r>
          </w:p>
        </w:tc>
        <w:tc>
          <w:tcPr>
            <w:tcW w:w="2454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.主任委员代表药物临床试验伦理学研究专业委员会讲话 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分钟）</w:t>
            </w:r>
          </w:p>
        </w:tc>
        <w:tc>
          <w:tcPr>
            <w:tcW w:w="2454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281" w:type="dxa"/>
            <w:vAlign w:val="center"/>
          </w:tcPr>
          <w:p w:rsidR="00AF51B9" w:rsidRPr="00ED6AFE" w:rsidRDefault="00AF51B9" w:rsidP="00327B52">
            <w:p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.合影留念（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分钟）</w:t>
            </w:r>
          </w:p>
        </w:tc>
        <w:tc>
          <w:tcPr>
            <w:tcW w:w="2454" w:type="dxa"/>
            <w:vMerge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AF51B9" w:rsidRPr="00ED6AFE" w:rsidTr="00327B52">
        <w:trPr>
          <w:trHeight w:val="560"/>
          <w:jc w:val="center"/>
        </w:trPr>
        <w:tc>
          <w:tcPr>
            <w:tcW w:w="9446" w:type="dxa"/>
            <w:gridSpan w:val="3"/>
            <w:vAlign w:val="center"/>
          </w:tcPr>
          <w:p w:rsidR="00AF51B9" w:rsidRPr="00ED6AFE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572E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专题学术报告</w:t>
            </w:r>
          </w:p>
        </w:tc>
      </w:tr>
      <w:tr w:rsidR="00AF51B9" w:rsidRPr="00ED6AFE" w:rsidTr="00327B52">
        <w:trPr>
          <w:trHeight w:val="484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内  容</w:t>
            </w:r>
          </w:p>
        </w:tc>
        <w:tc>
          <w:tcPr>
            <w:tcW w:w="2454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报告人</w:t>
            </w:r>
          </w:p>
        </w:tc>
      </w:tr>
      <w:tr w:rsidR="00AF51B9" w:rsidRPr="00ED6AFE" w:rsidTr="00327B52">
        <w:trPr>
          <w:trHeight w:val="113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:40-10:20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临床研究伦理与管理</w:t>
            </w:r>
          </w:p>
        </w:tc>
        <w:tc>
          <w:tcPr>
            <w:tcW w:w="2454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专业委员会主任委员/副主任委员</w:t>
            </w: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10:20-11:00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新版《涉及人的生物医学研究伦理审查办法》解读</w:t>
            </w:r>
          </w:p>
        </w:tc>
        <w:tc>
          <w:tcPr>
            <w:tcW w:w="2454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国家</w:t>
            </w:r>
            <w:proofErr w:type="gramStart"/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卫健委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有关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11:00-11:40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“备案许可制”：伦理审查前置的挑战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国家药监局有关部门</w:t>
            </w:r>
          </w:p>
        </w:tc>
      </w:tr>
      <w:tr w:rsidR="00AF51B9" w:rsidRPr="00ED6AFE" w:rsidTr="00327B52">
        <w:trPr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11:40-12:20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多中心临床试验单一伦理审查：概念与挑战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许重远</w:t>
            </w:r>
            <w:proofErr w:type="gramEnd"/>
          </w:p>
        </w:tc>
      </w:tr>
      <w:tr w:rsidR="00AF51B9" w:rsidRPr="00ED6AFE" w:rsidTr="00327B52">
        <w:trPr>
          <w:trHeight w:val="84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12:20-14:00</w:t>
            </w:r>
          </w:p>
        </w:tc>
        <w:tc>
          <w:tcPr>
            <w:tcW w:w="5281" w:type="dxa"/>
            <w:vAlign w:val="center"/>
          </w:tcPr>
          <w:p w:rsidR="00AF51B9" w:rsidRPr="00530679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F51B9" w:rsidRPr="00ED6AFE" w:rsidTr="00327B52">
        <w:trPr>
          <w:trHeight w:val="84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14:00-14:40</w:t>
            </w:r>
          </w:p>
        </w:tc>
        <w:tc>
          <w:tcPr>
            <w:tcW w:w="5281" w:type="dxa"/>
            <w:vAlign w:val="center"/>
          </w:tcPr>
          <w:p w:rsidR="00AF51B9" w:rsidRPr="00530679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新时期临床研究伦理的机遇与挑战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赵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俊</w:t>
            </w:r>
          </w:p>
        </w:tc>
      </w:tr>
      <w:tr w:rsidR="00AF51B9" w:rsidRPr="00ED6AFE" w:rsidTr="00327B52">
        <w:trPr>
          <w:trHeight w:val="84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14:40-15:20</w:t>
            </w:r>
          </w:p>
        </w:tc>
        <w:tc>
          <w:tcPr>
            <w:tcW w:w="5281" w:type="dxa"/>
            <w:vAlign w:val="center"/>
          </w:tcPr>
          <w:p w:rsidR="00AF51B9" w:rsidRPr="00530679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区域伦理审查委员会：概念与模式探索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王美霞</w:t>
            </w:r>
          </w:p>
        </w:tc>
      </w:tr>
      <w:tr w:rsidR="00AF51B9" w:rsidRPr="00ED6AFE" w:rsidTr="00327B52">
        <w:trPr>
          <w:trHeight w:val="84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15:20-16:00</w:t>
            </w:r>
          </w:p>
        </w:tc>
        <w:tc>
          <w:tcPr>
            <w:tcW w:w="5281" w:type="dxa"/>
            <w:vAlign w:val="center"/>
          </w:tcPr>
          <w:p w:rsidR="00AF51B9" w:rsidRPr="0079481E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新药临床试验方案伦理审查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79481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赵秀丽</w:t>
            </w:r>
          </w:p>
        </w:tc>
      </w:tr>
      <w:tr w:rsidR="00AF51B9" w:rsidRPr="00ED6AFE" w:rsidTr="00327B52">
        <w:trPr>
          <w:trHeight w:val="841"/>
          <w:jc w:val="center"/>
        </w:trPr>
        <w:tc>
          <w:tcPr>
            <w:tcW w:w="1711" w:type="dxa"/>
            <w:vAlign w:val="center"/>
          </w:tcPr>
          <w:p w:rsidR="00AF51B9" w:rsidRDefault="00AF51B9" w:rsidP="00327B52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16:00-16:40</w:t>
            </w:r>
          </w:p>
        </w:tc>
        <w:tc>
          <w:tcPr>
            <w:tcW w:w="5281" w:type="dxa"/>
            <w:vAlign w:val="center"/>
          </w:tcPr>
          <w:p w:rsidR="00AF51B9" w:rsidRPr="00530679" w:rsidRDefault="00AF51B9" w:rsidP="00327B52">
            <w:pPr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伦理委员审查能力提升的实践与思考</w:t>
            </w:r>
          </w:p>
        </w:tc>
        <w:tc>
          <w:tcPr>
            <w:tcW w:w="2454" w:type="dxa"/>
            <w:vAlign w:val="center"/>
          </w:tcPr>
          <w:p w:rsidR="00AF51B9" w:rsidRPr="00E510AD" w:rsidRDefault="00AF51B9" w:rsidP="00327B5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30679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沈一峰</w:t>
            </w:r>
          </w:p>
        </w:tc>
      </w:tr>
    </w:tbl>
    <w:p w:rsidR="00AF51B9" w:rsidRDefault="00AF51B9" w:rsidP="00AF51B9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</w:p>
    <w:p w:rsidR="00AF51B9" w:rsidRDefault="00AF51B9" w:rsidP="00AF51B9">
      <w:pPr>
        <w:spacing w:line="380" w:lineRule="exact"/>
        <w:rPr>
          <w:rFonts w:ascii="黑体" w:eastAsia="黑体" w:hAnsi="黑体" w:cs="仿宋" w:hint="eastAsia"/>
          <w:sz w:val="32"/>
          <w:szCs w:val="32"/>
        </w:rPr>
      </w:pPr>
    </w:p>
    <w:p w:rsidR="00831ECB" w:rsidRDefault="00831ECB"/>
    <w:sectPr w:rsidR="00831ECB" w:rsidSect="0083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1B9"/>
    <w:rsid w:val="00831ECB"/>
    <w:rsid w:val="00AF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2019-02-18T06:56:00Z</dcterms:created>
  <dcterms:modified xsi:type="dcterms:W3CDTF">2019-02-18T06:56:00Z</dcterms:modified>
</cp:coreProperties>
</file>